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A031A" w14:textId="0E02CD66" w:rsidR="005B4373" w:rsidRDefault="005B4373" w:rsidP="00EB50D9">
      <w:pPr>
        <w:spacing w:after="0" w:line="240" w:lineRule="auto"/>
        <w:rPr>
          <w:rFonts w:ascii="Arial" w:hAnsi="Arial" w:cs="Arial"/>
          <w:b/>
          <w:bCs/>
          <w:sz w:val="20"/>
          <w:szCs w:val="20"/>
        </w:rPr>
      </w:pPr>
      <w:r w:rsidRPr="005B4373">
        <w:rPr>
          <w:rFonts w:ascii="Arial" w:hAnsi="Arial" w:cs="Arial"/>
          <w:noProof/>
          <w:color w:val="484644"/>
          <w:sz w:val="21"/>
          <w:szCs w:val="21"/>
          <w:shd w:val="clear" w:color="auto" w:fill="F3F2F1"/>
        </w:rPr>
        <w:drawing>
          <wp:anchor distT="0" distB="0" distL="114300" distR="114300" simplePos="0" relativeHeight="251659264" behindDoc="0" locked="0" layoutInCell="1" allowOverlap="1" wp14:anchorId="5D40375A" wp14:editId="1BF73462">
            <wp:simplePos x="0" y="0"/>
            <wp:positionH relativeFrom="page">
              <wp:posOffset>2797810</wp:posOffset>
            </wp:positionH>
            <wp:positionV relativeFrom="paragraph">
              <wp:posOffset>0</wp:posOffset>
            </wp:positionV>
            <wp:extent cx="2176272" cy="576072"/>
            <wp:effectExtent l="0" t="0" r="0" b="0"/>
            <wp:wrapTopAndBottom/>
            <wp:docPr id="826130918" name="Picture 826130918"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30918" name="Picture 826130918" descr="A red text on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6272" cy="576072"/>
                    </a:xfrm>
                    <a:prstGeom prst="rect">
                      <a:avLst/>
                    </a:prstGeom>
                    <a:noFill/>
                  </pic:spPr>
                </pic:pic>
              </a:graphicData>
            </a:graphic>
            <wp14:sizeRelH relativeFrom="margin">
              <wp14:pctWidth>0</wp14:pctWidth>
            </wp14:sizeRelH>
            <wp14:sizeRelV relativeFrom="margin">
              <wp14:pctHeight>0</wp14:pctHeight>
            </wp14:sizeRelV>
          </wp:anchor>
        </w:drawing>
      </w:r>
    </w:p>
    <w:p w14:paraId="16E92749" w14:textId="77777777" w:rsidR="005B4373" w:rsidRPr="005B4373" w:rsidRDefault="005B4373" w:rsidP="00EB50D9">
      <w:pPr>
        <w:spacing w:after="0" w:line="240" w:lineRule="auto"/>
        <w:jc w:val="center"/>
        <w:rPr>
          <w:rFonts w:ascii="Arial" w:hAnsi="Arial" w:cs="Arial"/>
          <w:b/>
          <w:bCs/>
          <w:sz w:val="20"/>
          <w:szCs w:val="20"/>
        </w:rPr>
      </w:pPr>
    </w:p>
    <w:p w14:paraId="15E534FC" w14:textId="160A660F" w:rsidR="00675720" w:rsidRPr="005B4373" w:rsidRDefault="00675720" w:rsidP="00EB50D9">
      <w:pPr>
        <w:spacing w:after="0" w:line="240" w:lineRule="auto"/>
        <w:jc w:val="center"/>
        <w:rPr>
          <w:rFonts w:ascii="Arial" w:hAnsi="Arial" w:cs="Arial"/>
          <w:b/>
          <w:bCs/>
          <w:sz w:val="28"/>
          <w:szCs w:val="28"/>
        </w:rPr>
      </w:pPr>
      <w:r w:rsidRPr="005B4373">
        <w:rPr>
          <w:rFonts w:ascii="Arial" w:hAnsi="Arial" w:cs="Arial"/>
          <w:b/>
          <w:bCs/>
          <w:sz w:val="28"/>
          <w:szCs w:val="28"/>
        </w:rPr>
        <w:t>IRB Policy and Procedure Updates: Questions and Answers</w:t>
      </w:r>
    </w:p>
    <w:p w14:paraId="155D05FB" w14:textId="77777777" w:rsidR="005B4373" w:rsidRDefault="005B4373" w:rsidP="00EB50D9">
      <w:pPr>
        <w:spacing w:after="0" w:line="240" w:lineRule="auto"/>
        <w:rPr>
          <w:rFonts w:ascii="Arial" w:hAnsi="Arial" w:cs="Arial"/>
          <w:b/>
          <w:bCs/>
          <w:sz w:val="20"/>
          <w:szCs w:val="20"/>
        </w:rPr>
      </w:pPr>
    </w:p>
    <w:p w14:paraId="152E67B0" w14:textId="315B446E" w:rsidR="00675720" w:rsidRPr="005B4373" w:rsidRDefault="00675720" w:rsidP="00675720">
      <w:pPr>
        <w:rPr>
          <w:rFonts w:ascii="Arial" w:hAnsi="Arial" w:cs="Arial"/>
          <w:color w:val="B1181E"/>
        </w:rPr>
      </w:pPr>
      <w:r w:rsidRPr="005B4373">
        <w:rPr>
          <w:rFonts w:ascii="Arial" w:hAnsi="Arial" w:cs="Arial"/>
          <w:b/>
          <w:bCs/>
          <w:color w:val="B1181E"/>
        </w:rPr>
        <w:t>Q1: What are the key updates to the IRB policies?</w:t>
      </w:r>
    </w:p>
    <w:p w14:paraId="304C90FF" w14:textId="77777777" w:rsidR="00675720" w:rsidRPr="005B4373" w:rsidRDefault="00675720" w:rsidP="00675720">
      <w:pPr>
        <w:rPr>
          <w:rFonts w:ascii="Arial" w:hAnsi="Arial" w:cs="Arial"/>
          <w:sz w:val="20"/>
          <w:szCs w:val="20"/>
        </w:rPr>
      </w:pPr>
      <w:r w:rsidRPr="005B4373">
        <w:rPr>
          <w:rFonts w:ascii="Arial" w:hAnsi="Arial" w:cs="Arial"/>
          <w:b/>
          <w:bCs/>
          <w:sz w:val="20"/>
          <w:szCs w:val="20"/>
        </w:rPr>
        <w:t>A1:</w:t>
      </w:r>
      <w:r w:rsidRPr="005B4373">
        <w:rPr>
          <w:rFonts w:ascii="Arial" w:hAnsi="Arial" w:cs="Arial"/>
          <w:sz w:val="20"/>
          <w:szCs w:val="20"/>
        </w:rPr>
        <w:t xml:space="preserve"> The key updates to the IRB policies include:</w:t>
      </w:r>
    </w:p>
    <w:p w14:paraId="226F6B29" w14:textId="77777777" w:rsidR="00220DE1" w:rsidRPr="005B4373" w:rsidRDefault="00220DE1" w:rsidP="00220DE1">
      <w:pPr>
        <w:numPr>
          <w:ilvl w:val="0"/>
          <w:numId w:val="7"/>
        </w:numPr>
        <w:rPr>
          <w:rFonts w:ascii="Arial" w:hAnsi="Arial" w:cs="Arial"/>
          <w:sz w:val="20"/>
          <w:szCs w:val="20"/>
        </w:rPr>
      </w:pPr>
      <w:r w:rsidRPr="005B4373">
        <w:rPr>
          <w:rFonts w:ascii="Arial" w:hAnsi="Arial" w:cs="Arial"/>
          <w:b/>
          <w:bCs/>
          <w:sz w:val="20"/>
          <w:szCs w:val="20"/>
        </w:rPr>
        <w:t xml:space="preserve">Streamlined Application Forms: </w:t>
      </w:r>
      <w:r w:rsidRPr="005B4373">
        <w:rPr>
          <w:rFonts w:ascii="Arial" w:hAnsi="Arial" w:cs="Arial"/>
          <w:sz w:val="20"/>
          <w:szCs w:val="20"/>
        </w:rPr>
        <w:t>We have introduced more user-friendly application forms to simplify the submission process for all types of studies. The previous separate forms for full, expedited, and exempt studies, along with the Human Research Subject Form, have been consolidated into three distinct forms:</w:t>
      </w:r>
    </w:p>
    <w:p w14:paraId="276ED99D" w14:textId="7DB99032" w:rsidR="00220DE1" w:rsidRPr="00EE4EBE" w:rsidRDefault="00220DE1" w:rsidP="00220DE1">
      <w:pPr>
        <w:numPr>
          <w:ilvl w:val="1"/>
          <w:numId w:val="7"/>
        </w:numPr>
        <w:rPr>
          <w:rFonts w:ascii="Arial" w:hAnsi="Arial" w:cs="Arial"/>
          <w:sz w:val="20"/>
          <w:szCs w:val="20"/>
        </w:rPr>
      </w:pPr>
      <w:r w:rsidRPr="00EE4EBE">
        <w:rPr>
          <w:rFonts w:ascii="Arial" w:hAnsi="Arial" w:cs="Arial"/>
          <w:sz w:val="20"/>
          <w:szCs w:val="20"/>
        </w:rPr>
        <w:t>DIRB-001 HSRPF Exempt form for exempt studies</w:t>
      </w:r>
    </w:p>
    <w:p w14:paraId="629F2E14" w14:textId="23CF6C0D" w:rsidR="00220DE1" w:rsidRPr="00EE4EBE" w:rsidRDefault="00220DE1" w:rsidP="00220DE1">
      <w:pPr>
        <w:numPr>
          <w:ilvl w:val="1"/>
          <w:numId w:val="7"/>
        </w:numPr>
        <w:rPr>
          <w:rFonts w:ascii="Arial" w:hAnsi="Arial" w:cs="Arial"/>
          <w:sz w:val="20"/>
          <w:szCs w:val="20"/>
        </w:rPr>
      </w:pPr>
      <w:r w:rsidRPr="00EE4EBE">
        <w:rPr>
          <w:rFonts w:ascii="Arial" w:hAnsi="Arial" w:cs="Arial"/>
          <w:sz w:val="20"/>
          <w:szCs w:val="20"/>
        </w:rPr>
        <w:t>DIRB-002 HSRPF Expedited form for expedited studies</w:t>
      </w:r>
    </w:p>
    <w:p w14:paraId="0FB7B180" w14:textId="729F594E" w:rsidR="00220DE1" w:rsidRPr="00EE4EBE" w:rsidRDefault="00220DE1" w:rsidP="00220DE1">
      <w:pPr>
        <w:numPr>
          <w:ilvl w:val="1"/>
          <w:numId w:val="7"/>
        </w:numPr>
        <w:rPr>
          <w:rFonts w:ascii="Arial" w:hAnsi="Arial" w:cs="Arial"/>
          <w:sz w:val="20"/>
          <w:szCs w:val="20"/>
        </w:rPr>
      </w:pPr>
      <w:r w:rsidRPr="00EE4EBE">
        <w:rPr>
          <w:rFonts w:ascii="Arial" w:hAnsi="Arial" w:cs="Arial"/>
          <w:sz w:val="20"/>
          <w:szCs w:val="20"/>
        </w:rPr>
        <w:t>DIRB-003 HSRPF Standard form for full board reviews</w:t>
      </w:r>
    </w:p>
    <w:p w14:paraId="7284A4FB" w14:textId="7517937F" w:rsidR="00675720" w:rsidRPr="00EE4EBE" w:rsidRDefault="00675720" w:rsidP="00675720">
      <w:pPr>
        <w:numPr>
          <w:ilvl w:val="0"/>
          <w:numId w:val="7"/>
        </w:numPr>
        <w:rPr>
          <w:rFonts w:ascii="Arial" w:hAnsi="Arial" w:cs="Arial"/>
          <w:sz w:val="20"/>
          <w:szCs w:val="20"/>
        </w:rPr>
      </w:pPr>
      <w:r w:rsidRPr="00EE4EBE">
        <w:rPr>
          <w:rFonts w:ascii="Arial" w:hAnsi="Arial" w:cs="Arial"/>
          <w:b/>
          <w:bCs/>
          <w:sz w:val="20"/>
          <w:szCs w:val="20"/>
        </w:rPr>
        <w:t>Enhanced Informed Consent Requirements:</w:t>
      </w:r>
      <w:r w:rsidRPr="00EE4EBE">
        <w:rPr>
          <w:rFonts w:ascii="Arial" w:hAnsi="Arial" w:cs="Arial"/>
          <w:sz w:val="20"/>
          <w:szCs w:val="20"/>
        </w:rPr>
        <w:t xml:space="preserve"> Updates to informed consent procedures now include more detailed explanations of all essential elements, such as the purpose of the research, procedures involved, potential risks and benefits, and contact information for questions.</w:t>
      </w:r>
      <w:r w:rsidR="004B31E7" w:rsidRPr="00EE4EBE">
        <w:rPr>
          <w:rFonts w:ascii="Arial" w:hAnsi="Arial" w:cs="Arial"/>
          <w:sz w:val="20"/>
          <w:szCs w:val="20"/>
        </w:rPr>
        <w:t xml:space="preserve"> Also, we have added a new </w:t>
      </w:r>
      <w:r w:rsidR="00524D01" w:rsidRPr="00EE4EBE">
        <w:rPr>
          <w:rFonts w:ascii="Arial" w:hAnsi="Arial" w:cs="Arial"/>
          <w:sz w:val="20"/>
          <w:szCs w:val="20"/>
        </w:rPr>
        <w:t xml:space="preserve">IRB-007 </w:t>
      </w:r>
      <w:r w:rsidR="004B31E7" w:rsidRPr="00EE4EBE">
        <w:rPr>
          <w:rFonts w:ascii="Arial" w:hAnsi="Arial" w:cs="Arial"/>
          <w:sz w:val="20"/>
          <w:szCs w:val="20"/>
        </w:rPr>
        <w:t xml:space="preserve">Consent </w:t>
      </w:r>
      <w:r w:rsidR="00524D01" w:rsidRPr="00EE4EBE">
        <w:rPr>
          <w:rFonts w:ascii="Arial" w:hAnsi="Arial" w:cs="Arial"/>
          <w:sz w:val="20"/>
          <w:szCs w:val="20"/>
        </w:rPr>
        <w:t>F</w:t>
      </w:r>
      <w:r w:rsidR="004B31E7" w:rsidRPr="00EE4EBE">
        <w:rPr>
          <w:rFonts w:ascii="Arial" w:hAnsi="Arial" w:cs="Arial"/>
          <w:sz w:val="20"/>
          <w:szCs w:val="20"/>
        </w:rPr>
        <w:t>orm for Biomedical Research.</w:t>
      </w:r>
    </w:p>
    <w:p w14:paraId="65BA35F4" w14:textId="3DEEDFB0" w:rsidR="00675720" w:rsidRPr="00EE4EBE" w:rsidRDefault="00675720" w:rsidP="00220DE1">
      <w:pPr>
        <w:numPr>
          <w:ilvl w:val="0"/>
          <w:numId w:val="7"/>
        </w:numPr>
        <w:rPr>
          <w:rFonts w:ascii="Arial" w:hAnsi="Arial" w:cs="Arial"/>
          <w:sz w:val="20"/>
          <w:szCs w:val="20"/>
        </w:rPr>
      </w:pPr>
      <w:r w:rsidRPr="00EE4EBE">
        <w:rPr>
          <w:rFonts w:ascii="Arial" w:hAnsi="Arial" w:cs="Arial"/>
          <w:b/>
          <w:bCs/>
          <w:sz w:val="20"/>
          <w:szCs w:val="20"/>
        </w:rPr>
        <w:t>IRB Guidance for Student Research and Class Projects:</w:t>
      </w:r>
      <w:r w:rsidRPr="00EE4EBE">
        <w:rPr>
          <w:rFonts w:ascii="Arial" w:hAnsi="Arial" w:cs="Arial"/>
          <w:sz w:val="20"/>
          <w:szCs w:val="20"/>
        </w:rPr>
        <w:t xml:space="preserve"> New guidelines are available to help students and faculty navigate the IRB process for class projects and research activities. This </w:t>
      </w:r>
      <w:hyperlink r:id="rId8" w:history="1">
        <w:r w:rsidR="00524D01" w:rsidRPr="00EE4EBE">
          <w:rPr>
            <w:rStyle w:val="Hyperlink"/>
            <w:rFonts w:ascii="Arial" w:hAnsi="Arial" w:cs="Arial"/>
            <w:sz w:val="20"/>
            <w:szCs w:val="20"/>
          </w:rPr>
          <w:t>IRB Guidance for Student Research and Class Projects</w:t>
        </w:r>
      </w:hyperlink>
      <w:r w:rsidRPr="00EE4EBE">
        <w:rPr>
          <w:rFonts w:ascii="Arial" w:hAnsi="Arial" w:cs="Arial"/>
          <w:sz w:val="20"/>
          <w:szCs w:val="20"/>
        </w:rPr>
        <w:t xml:space="preserve"> aims to ensure compliance while accommodating educational objectives.</w:t>
      </w:r>
    </w:p>
    <w:p w14:paraId="33B4CCC0" w14:textId="27E5F2A3" w:rsidR="00675720" w:rsidRPr="00EE4EBE" w:rsidRDefault="00675720" w:rsidP="00675720">
      <w:pPr>
        <w:numPr>
          <w:ilvl w:val="0"/>
          <w:numId w:val="7"/>
        </w:numPr>
        <w:rPr>
          <w:rFonts w:ascii="Arial" w:hAnsi="Arial" w:cs="Arial"/>
          <w:sz w:val="20"/>
          <w:szCs w:val="20"/>
        </w:rPr>
      </w:pPr>
      <w:r w:rsidRPr="00EE4EBE">
        <w:rPr>
          <w:rFonts w:ascii="Arial" w:hAnsi="Arial" w:cs="Arial"/>
          <w:b/>
          <w:bCs/>
          <w:sz w:val="20"/>
          <w:szCs w:val="20"/>
        </w:rPr>
        <w:t>Modification Form:</w:t>
      </w:r>
      <w:r w:rsidRPr="00EE4EBE">
        <w:rPr>
          <w:rFonts w:ascii="Arial" w:hAnsi="Arial" w:cs="Arial"/>
          <w:sz w:val="20"/>
          <w:szCs w:val="20"/>
        </w:rPr>
        <w:t xml:space="preserve"> A new </w:t>
      </w:r>
      <w:r w:rsidR="00524D01" w:rsidRPr="00EE4EBE">
        <w:rPr>
          <w:rFonts w:ascii="Arial" w:hAnsi="Arial" w:cs="Arial"/>
          <w:sz w:val="20"/>
          <w:szCs w:val="20"/>
        </w:rPr>
        <w:t>DIRB-004 HSRPF Modification Form h</w:t>
      </w:r>
      <w:r w:rsidRPr="00EE4EBE">
        <w:rPr>
          <w:rFonts w:ascii="Arial" w:hAnsi="Arial" w:cs="Arial"/>
          <w:sz w:val="20"/>
          <w:szCs w:val="20"/>
        </w:rPr>
        <w:t>as been introduced to streamline the process of requesting changes to approved studies.</w:t>
      </w:r>
    </w:p>
    <w:p w14:paraId="3A1FA5EF" w14:textId="36A66004" w:rsidR="00675720" w:rsidRPr="005B4373" w:rsidRDefault="00675720" w:rsidP="00675720">
      <w:pPr>
        <w:numPr>
          <w:ilvl w:val="0"/>
          <w:numId w:val="7"/>
        </w:numPr>
        <w:rPr>
          <w:rFonts w:ascii="Arial" w:hAnsi="Arial" w:cs="Arial"/>
          <w:sz w:val="20"/>
          <w:szCs w:val="20"/>
        </w:rPr>
      </w:pPr>
      <w:r w:rsidRPr="005B4373">
        <w:rPr>
          <w:rFonts w:ascii="Arial" w:hAnsi="Arial" w:cs="Arial"/>
          <w:b/>
          <w:bCs/>
          <w:sz w:val="20"/>
          <w:szCs w:val="20"/>
        </w:rPr>
        <w:t>Comments Responses Form:</w:t>
      </w:r>
      <w:r w:rsidRPr="005B4373">
        <w:rPr>
          <w:rFonts w:ascii="Arial" w:hAnsi="Arial" w:cs="Arial"/>
          <w:sz w:val="20"/>
          <w:szCs w:val="20"/>
        </w:rPr>
        <w:t xml:space="preserve"> A </w:t>
      </w:r>
      <w:r w:rsidR="00524D01" w:rsidRPr="00EE4EBE">
        <w:rPr>
          <w:rFonts w:ascii="Arial" w:hAnsi="Arial" w:cs="Arial"/>
          <w:sz w:val="20"/>
          <w:szCs w:val="20"/>
        </w:rPr>
        <w:t>DIRB-012 Response to Comments Form</w:t>
      </w:r>
      <w:r w:rsidRPr="005B4373">
        <w:rPr>
          <w:rFonts w:ascii="Arial" w:hAnsi="Arial" w:cs="Arial"/>
          <w:sz w:val="20"/>
          <w:szCs w:val="20"/>
        </w:rPr>
        <w:t xml:space="preserve"> is now available to facilitate responses to feedback from the IRB. This form helps in clearly addressing reviewer comments.</w:t>
      </w:r>
    </w:p>
    <w:p w14:paraId="6B2DA6E6" w14:textId="77777777" w:rsidR="00675720" w:rsidRPr="005B4373" w:rsidRDefault="00675720" w:rsidP="00675720">
      <w:pPr>
        <w:numPr>
          <w:ilvl w:val="0"/>
          <w:numId w:val="7"/>
        </w:numPr>
        <w:rPr>
          <w:rFonts w:ascii="Arial" w:hAnsi="Arial" w:cs="Arial"/>
          <w:sz w:val="20"/>
          <w:szCs w:val="20"/>
        </w:rPr>
      </w:pPr>
      <w:r w:rsidRPr="005B4373">
        <w:rPr>
          <w:rFonts w:ascii="Arial" w:hAnsi="Arial" w:cs="Arial"/>
          <w:b/>
          <w:bCs/>
          <w:sz w:val="20"/>
          <w:szCs w:val="20"/>
        </w:rPr>
        <w:t>Reliance Agreement with Roswell Park Cancer Institute:</w:t>
      </w:r>
      <w:r w:rsidRPr="005B4373">
        <w:rPr>
          <w:rFonts w:ascii="Arial" w:hAnsi="Arial" w:cs="Arial"/>
          <w:sz w:val="20"/>
          <w:szCs w:val="20"/>
        </w:rPr>
        <w:t xml:space="preserve"> We have established a reliance agreement with Roswell Park Cancer Institute to streamline the review process for multi-site research studies involving their institution.</w:t>
      </w:r>
    </w:p>
    <w:p w14:paraId="0F7A7582" w14:textId="5C0A1E4B" w:rsidR="005B4373" w:rsidRPr="005B4373" w:rsidRDefault="00675720" w:rsidP="00675720">
      <w:pPr>
        <w:numPr>
          <w:ilvl w:val="0"/>
          <w:numId w:val="7"/>
        </w:numPr>
        <w:rPr>
          <w:rFonts w:ascii="Arial" w:hAnsi="Arial" w:cs="Arial"/>
          <w:sz w:val="20"/>
          <w:szCs w:val="20"/>
        </w:rPr>
      </w:pPr>
      <w:r w:rsidRPr="005B4373">
        <w:rPr>
          <w:rFonts w:ascii="Arial" w:hAnsi="Arial" w:cs="Arial"/>
          <w:b/>
          <w:bCs/>
          <w:sz w:val="20"/>
          <w:szCs w:val="20"/>
        </w:rPr>
        <w:t>Site Approval Letter/Support Letter:</w:t>
      </w:r>
      <w:r w:rsidR="005B4373" w:rsidRPr="005B4373">
        <w:rPr>
          <w:rFonts w:ascii="Arial" w:hAnsi="Arial" w:cs="Arial"/>
          <w:sz w:val="20"/>
          <w:szCs w:val="20"/>
        </w:rPr>
        <w:t xml:space="preserve"> New requirements for Site Approval Letter/Support Letter are in place.</w:t>
      </w:r>
    </w:p>
    <w:p w14:paraId="3A7F30D0" w14:textId="2FA44A83" w:rsidR="005B4373" w:rsidRPr="005B4373" w:rsidRDefault="00AD6EB4" w:rsidP="005B4373">
      <w:pPr>
        <w:numPr>
          <w:ilvl w:val="1"/>
          <w:numId w:val="7"/>
        </w:numPr>
        <w:rPr>
          <w:rFonts w:ascii="Arial" w:hAnsi="Arial" w:cs="Arial"/>
          <w:sz w:val="20"/>
          <w:szCs w:val="20"/>
        </w:rPr>
      </w:pPr>
      <w:r w:rsidRPr="005B4373">
        <w:rPr>
          <w:rFonts w:ascii="Arial" w:hAnsi="Arial" w:cs="Arial"/>
          <w:sz w:val="20"/>
          <w:szCs w:val="20"/>
        </w:rPr>
        <w:t>For internal letters, please contact the Vice President for Mission Integration.</w:t>
      </w:r>
    </w:p>
    <w:p w14:paraId="5168C708" w14:textId="1C9C7D4A" w:rsidR="00675720" w:rsidRPr="005B4373" w:rsidRDefault="00675720" w:rsidP="005B4373">
      <w:pPr>
        <w:numPr>
          <w:ilvl w:val="1"/>
          <w:numId w:val="7"/>
        </w:numPr>
        <w:rPr>
          <w:rFonts w:ascii="Arial" w:hAnsi="Arial" w:cs="Arial"/>
          <w:sz w:val="20"/>
          <w:szCs w:val="20"/>
        </w:rPr>
      </w:pPr>
      <w:r w:rsidRPr="005B4373">
        <w:rPr>
          <w:rFonts w:ascii="Arial" w:hAnsi="Arial" w:cs="Arial"/>
          <w:sz w:val="20"/>
          <w:szCs w:val="20"/>
        </w:rPr>
        <w:t>These letters are now required for studies conducted at external sites or involving external collaborators.</w:t>
      </w:r>
      <w:r w:rsidR="00AD6EB4" w:rsidRPr="005B4373">
        <w:rPr>
          <w:rFonts w:ascii="Arial" w:hAnsi="Arial" w:cs="Arial"/>
          <w:sz w:val="20"/>
          <w:szCs w:val="20"/>
        </w:rPr>
        <w:t xml:space="preserve"> Researchers should obtain approval letters/support letters from the external collaborators’ institutions.</w:t>
      </w:r>
    </w:p>
    <w:p w14:paraId="27669240" w14:textId="15ABADAA" w:rsidR="004B31E7" w:rsidRPr="005B4373" w:rsidRDefault="004B31E7" w:rsidP="00675720">
      <w:pPr>
        <w:numPr>
          <w:ilvl w:val="0"/>
          <w:numId w:val="7"/>
        </w:numPr>
        <w:rPr>
          <w:rFonts w:ascii="Arial" w:hAnsi="Arial" w:cs="Arial"/>
          <w:sz w:val="20"/>
          <w:szCs w:val="20"/>
        </w:rPr>
      </w:pPr>
      <w:r w:rsidRPr="005B4373">
        <w:rPr>
          <w:rFonts w:ascii="Arial" w:hAnsi="Arial" w:cs="Arial"/>
          <w:b/>
          <w:bCs/>
          <w:sz w:val="20"/>
          <w:szCs w:val="20"/>
        </w:rPr>
        <w:lastRenderedPageBreak/>
        <w:t>Other Forms:</w:t>
      </w:r>
      <w:r w:rsidRPr="005B4373">
        <w:rPr>
          <w:rFonts w:ascii="Arial" w:hAnsi="Arial" w:cs="Arial"/>
          <w:sz w:val="20"/>
          <w:szCs w:val="20"/>
        </w:rPr>
        <w:t xml:space="preserve"> For all additional forms related to IRB submissions, please check the </w:t>
      </w:r>
      <w:r w:rsidR="00AD6EB4" w:rsidRPr="005B4373">
        <w:rPr>
          <w:rFonts w:ascii="Arial" w:hAnsi="Arial" w:cs="Arial"/>
          <w:sz w:val="20"/>
          <w:szCs w:val="20"/>
        </w:rPr>
        <w:t>IRB Application Forms</w:t>
      </w:r>
      <w:r w:rsidR="00AD6EB4" w:rsidRPr="005B4373">
        <w:rPr>
          <w:rFonts w:ascii="Arial" w:hAnsi="Arial" w:cs="Arial"/>
          <w:b/>
          <w:bCs/>
          <w:sz w:val="20"/>
          <w:szCs w:val="20"/>
        </w:rPr>
        <w:t xml:space="preserve"> </w:t>
      </w:r>
      <w:r w:rsidRPr="005B4373">
        <w:rPr>
          <w:rFonts w:ascii="Arial" w:hAnsi="Arial" w:cs="Arial"/>
          <w:sz w:val="20"/>
          <w:szCs w:val="20"/>
        </w:rPr>
        <w:t xml:space="preserve">tab on the </w:t>
      </w:r>
      <w:hyperlink r:id="rId9" w:history="1">
        <w:r w:rsidRPr="005B4373">
          <w:rPr>
            <w:rStyle w:val="Hyperlink"/>
            <w:rFonts w:ascii="Arial" w:hAnsi="Arial" w:cs="Arial"/>
            <w:sz w:val="20"/>
            <w:szCs w:val="20"/>
          </w:rPr>
          <w:t>IRB page of our website</w:t>
        </w:r>
      </w:hyperlink>
      <w:r w:rsidRPr="005B4373">
        <w:rPr>
          <w:rFonts w:ascii="Arial" w:hAnsi="Arial" w:cs="Arial"/>
          <w:sz w:val="20"/>
          <w:szCs w:val="20"/>
        </w:rPr>
        <w:t>. This tab provides access to all relevant forms and documents needed for various aspects of the IRB process.</w:t>
      </w:r>
    </w:p>
    <w:p w14:paraId="3BA852F3" w14:textId="1CE326D3" w:rsidR="00675720" w:rsidRPr="005B4373" w:rsidRDefault="00675720" w:rsidP="00675720">
      <w:pPr>
        <w:rPr>
          <w:rFonts w:ascii="Arial" w:hAnsi="Arial" w:cs="Arial"/>
          <w:color w:val="B1181E"/>
        </w:rPr>
      </w:pPr>
      <w:r w:rsidRPr="005B4373">
        <w:rPr>
          <w:rFonts w:ascii="Arial" w:hAnsi="Arial" w:cs="Arial"/>
          <w:b/>
          <w:bCs/>
          <w:color w:val="B1181E"/>
        </w:rPr>
        <w:t>Q2: How do the changes affect the application forms?</w:t>
      </w:r>
    </w:p>
    <w:p w14:paraId="43831456" w14:textId="77777777" w:rsidR="00675720" w:rsidRPr="005B4373" w:rsidRDefault="00675720" w:rsidP="00675720">
      <w:pPr>
        <w:rPr>
          <w:rFonts w:ascii="Arial" w:hAnsi="Arial" w:cs="Arial"/>
          <w:sz w:val="20"/>
          <w:szCs w:val="20"/>
        </w:rPr>
      </w:pPr>
      <w:r w:rsidRPr="005B4373">
        <w:rPr>
          <w:rFonts w:ascii="Arial" w:hAnsi="Arial" w:cs="Arial"/>
          <w:b/>
          <w:bCs/>
          <w:sz w:val="20"/>
          <w:szCs w:val="20"/>
        </w:rPr>
        <w:t>A2:</w:t>
      </w:r>
      <w:r w:rsidRPr="005B4373">
        <w:rPr>
          <w:rFonts w:ascii="Arial" w:hAnsi="Arial" w:cs="Arial"/>
          <w:sz w:val="20"/>
          <w:szCs w:val="20"/>
        </w:rPr>
        <w:t xml:space="preserve"> The application forms have been updated to:</w:t>
      </w:r>
    </w:p>
    <w:p w14:paraId="16AFFBD7" w14:textId="77777777" w:rsidR="00675720" w:rsidRPr="005B4373" w:rsidRDefault="00675720" w:rsidP="00675720">
      <w:pPr>
        <w:numPr>
          <w:ilvl w:val="0"/>
          <w:numId w:val="8"/>
        </w:numPr>
        <w:rPr>
          <w:rFonts w:ascii="Arial" w:hAnsi="Arial" w:cs="Arial"/>
          <w:sz w:val="20"/>
          <w:szCs w:val="20"/>
        </w:rPr>
      </w:pPr>
      <w:r w:rsidRPr="005B4373">
        <w:rPr>
          <w:rFonts w:ascii="Arial" w:hAnsi="Arial" w:cs="Arial"/>
          <w:b/>
          <w:bCs/>
          <w:sz w:val="20"/>
          <w:szCs w:val="20"/>
        </w:rPr>
        <w:t>Include New Sections:</w:t>
      </w:r>
      <w:r w:rsidRPr="005B4373">
        <w:rPr>
          <w:rFonts w:ascii="Arial" w:hAnsi="Arial" w:cs="Arial"/>
          <w:sz w:val="20"/>
          <w:szCs w:val="20"/>
        </w:rPr>
        <w:t xml:space="preserve"> New sections now encompass project description, research methods and design, detailed risk assessment, and mitigation strategies. These additions aim to provide a comprehensive overview of the research and ensure thorough evaluation by the IRB.</w:t>
      </w:r>
    </w:p>
    <w:p w14:paraId="785D1D5A" w14:textId="24CA71A2" w:rsidR="00675720" w:rsidRPr="005B4373" w:rsidRDefault="00675720" w:rsidP="00675720">
      <w:pPr>
        <w:numPr>
          <w:ilvl w:val="0"/>
          <w:numId w:val="8"/>
        </w:numPr>
        <w:rPr>
          <w:rFonts w:ascii="Arial" w:hAnsi="Arial" w:cs="Arial"/>
          <w:sz w:val="20"/>
          <w:szCs w:val="20"/>
        </w:rPr>
      </w:pPr>
      <w:r w:rsidRPr="005B4373">
        <w:rPr>
          <w:rFonts w:ascii="Arial" w:hAnsi="Arial" w:cs="Arial"/>
          <w:b/>
          <w:bCs/>
          <w:sz w:val="20"/>
          <w:szCs w:val="20"/>
        </w:rPr>
        <w:t>Simplified Language:</w:t>
      </w:r>
      <w:r w:rsidRPr="005B4373">
        <w:rPr>
          <w:rFonts w:ascii="Arial" w:hAnsi="Arial" w:cs="Arial"/>
          <w:sz w:val="20"/>
          <w:szCs w:val="20"/>
        </w:rPr>
        <w:t xml:space="preserve"> Forms now use clearer and </w:t>
      </w:r>
      <w:r w:rsidR="00AD6EB4" w:rsidRPr="005B4373">
        <w:rPr>
          <w:rFonts w:ascii="Arial" w:hAnsi="Arial" w:cs="Arial"/>
          <w:sz w:val="20"/>
          <w:szCs w:val="20"/>
        </w:rPr>
        <w:t>succinct</w:t>
      </w:r>
      <w:r w:rsidRPr="005B4373">
        <w:rPr>
          <w:rFonts w:ascii="Arial" w:hAnsi="Arial" w:cs="Arial"/>
          <w:sz w:val="20"/>
          <w:szCs w:val="20"/>
        </w:rPr>
        <w:t xml:space="preserve"> language to ensure that all researchers understand the requirements, reducing the risk of misunderstandings and incomplete submissions.</w:t>
      </w:r>
    </w:p>
    <w:p w14:paraId="273BF304" w14:textId="3CDE6D93" w:rsidR="00675720" w:rsidRPr="005B4373" w:rsidRDefault="00675720" w:rsidP="00675720">
      <w:pPr>
        <w:rPr>
          <w:rFonts w:ascii="Arial" w:hAnsi="Arial" w:cs="Arial"/>
          <w:color w:val="B1181E"/>
        </w:rPr>
      </w:pPr>
      <w:r w:rsidRPr="005B4373">
        <w:rPr>
          <w:rFonts w:ascii="Arial" w:hAnsi="Arial" w:cs="Arial"/>
          <w:b/>
          <w:bCs/>
          <w:color w:val="B1181E"/>
        </w:rPr>
        <w:t>Q3: Are there new deadlines or timelines associated with these updates?</w:t>
      </w:r>
    </w:p>
    <w:p w14:paraId="41E6BAE4" w14:textId="77777777" w:rsidR="00675720" w:rsidRPr="005B4373" w:rsidRDefault="00675720" w:rsidP="00675720">
      <w:pPr>
        <w:rPr>
          <w:rFonts w:ascii="Arial" w:hAnsi="Arial" w:cs="Arial"/>
          <w:sz w:val="20"/>
          <w:szCs w:val="20"/>
        </w:rPr>
      </w:pPr>
      <w:r w:rsidRPr="005B4373">
        <w:rPr>
          <w:rFonts w:ascii="Arial" w:hAnsi="Arial" w:cs="Arial"/>
          <w:b/>
          <w:bCs/>
          <w:sz w:val="20"/>
          <w:szCs w:val="20"/>
        </w:rPr>
        <w:t>A3:</w:t>
      </w:r>
      <w:r w:rsidRPr="005B4373">
        <w:rPr>
          <w:rFonts w:ascii="Arial" w:hAnsi="Arial" w:cs="Arial"/>
          <w:sz w:val="20"/>
          <w:szCs w:val="20"/>
        </w:rPr>
        <w:t xml:space="preserve"> There are no changes to the deadlines or timelines associated with the IRB review process. The review timelines remain the same, ensuring continuity in processing and decision-making.</w:t>
      </w:r>
    </w:p>
    <w:p w14:paraId="4B9C9FE2" w14:textId="77777777" w:rsidR="00675720" w:rsidRPr="005B4373" w:rsidRDefault="00675720" w:rsidP="00675720">
      <w:pPr>
        <w:rPr>
          <w:rFonts w:ascii="Arial" w:hAnsi="Arial" w:cs="Arial"/>
          <w:color w:val="B1181E"/>
        </w:rPr>
      </w:pPr>
      <w:r w:rsidRPr="005B4373">
        <w:rPr>
          <w:rFonts w:ascii="Arial" w:hAnsi="Arial" w:cs="Arial"/>
          <w:b/>
          <w:bCs/>
          <w:color w:val="B1181E"/>
        </w:rPr>
        <w:t>Q4: How will the updated informed consent requirements impact researchers?</w:t>
      </w:r>
    </w:p>
    <w:p w14:paraId="52AE7FE3" w14:textId="77777777" w:rsidR="00675720" w:rsidRPr="005B4373" w:rsidRDefault="00675720" w:rsidP="00675720">
      <w:pPr>
        <w:rPr>
          <w:rFonts w:ascii="Arial" w:hAnsi="Arial" w:cs="Arial"/>
          <w:sz w:val="20"/>
          <w:szCs w:val="20"/>
        </w:rPr>
      </w:pPr>
      <w:r w:rsidRPr="005B4373">
        <w:rPr>
          <w:rFonts w:ascii="Arial" w:hAnsi="Arial" w:cs="Arial"/>
          <w:b/>
          <w:bCs/>
          <w:sz w:val="20"/>
          <w:szCs w:val="20"/>
        </w:rPr>
        <w:t>A4:</w:t>
      </w:r>
      <w:r w:rsidRPr="005B4373">
        <w:rPr>
          <w:rFonts w:ascii="Arial" w:hAnsi="Arial" w:cs="Arial"/>
          <w:sz w:val="20"/>
          <w:szCs w:val="20"/>
        </w:rPr>
        <w:t xml:space="preserve"> Researchers will need to provide more comprehensive information to participants, including:</w:t>
      </w:r>
    </w:p>
    <w:p w14:paraId="0B6CF8B1" w14:textId="77777777" w:rsidR="00675720" w:rsidRPr="005B4373" w:rsidRDefault="00675720" w:rsidP="00675720">
      <w:pPr>
        <w:numPr>
          <w:ilvl w:val="0"/>
          <w:numId w:val="9"/>
        </w:numPr>
        <w:rPr>
          <w:rFonts w:ascii="Arial" w:hAnsi="Arial" w:cs="Arial"/>
          <w:sz w:val="20"/>
          <w:szCs w:val="20"/>
        </w:rPr>
      </w:pPr>
      <w:r w:rsidRPr="005B4373">
        <w:rPr>
          <w:rFonts w:ascii="Arial" w:hAnsi="Arial" w:cs="Arial"/>
          <w:b/>
          <w:bCs/>
          <w:sz w:val="20"/>
          <w:szCs w:val="20"/>
        </w:rPr>
        <w:t>Data Privacy Details:</w:t>
      </w:r>
      <w:r w:rsidRPr="005B4373">
        <w:rPr>
          <w:rFonts w:ascii="Arial" w:hAnsi="Arial" w:cs="Arial"/>
          <w:sz w:val="20"/>
          <w:szCs w:val="20"/>
        </w:rPr>
        <w:t xml:space="preserve"> Explicit details on how participant data will be protected, stored, and used, including information about data sharing and confidentiality measures.</w:t>
      </w:r>
    </w:p>
    <w:p w14:paraId="6E8D4DE1" w14:textId="77777777" w:rsidR="00675720" w:rsidRPr="005B4373" w:rsidRDefault="00675720" w:rsidP="00675720">
      <w:pPr>
        <w:numPr>
          <w:ilvl w:val="0"/>
          <w:numId w:val="9"/>
        </w:numPr>
        <w:rPr>
          <w:rFonts w:ascii="Arial" w:hAnsi="Arial" w:cs="Arial"/>
          <w:sz w:val="20"/>
          <w:szCs w:val="20"/>
        </w:rPr>
      </w:pPr>
      <w:r w:rsidRPr="005B4373">
        <w:rPr>
          <w:rFonts w:ascii="Arial" w:hAnsi="Arial" w:cs="Arial"/>
          <w:b/>
          <w:bCs/>
          <w:sz w:val="20"/>
          <w:szCs w:val="20"/>
        </w:rPr>
        <w:t>Clearer Descriptions of Risks:</w:t>
      </w:r>
      <w:r w:rsidRPr="005B4373">
        <w:rPr>
          <w:rFonts w:ascii="Arial" w:hAnsi="Arial" w:cs="Arial"/>
          <w:sz w:val="20"/>
          <w:szCs w:val="20"/>
        </w:rPr>
        <w:t xml:space="preserve"> More detailed descriptions of potential risks involved in the research, including both physical and psychological risks.</w:t>
      </w:r>
    </w:p>
    <w:p w14:paraId="3DF197B1" w14:textId="77777777" w:rsidR="00675720" w:rsidRPr="005B4373" w:rsidRDefault="00675720" w:rsidP="00675720">
      <w:pPr>
        <w:numPr>
          <w:ilvl w:val="0"/>
          <w:numId w:val="9"/>
        </w:numPr>
        <w:rPr>
          <w:rFonts w:ascii="Arial" w:hAnsi="Arial" w:cs="Arial"/>
          <w:sz w:val="20"/>
          <w:szCs w:val="20"/>
        </w:rPr>
      </w:pPr>
      <w:r w:rsidRPr="005B4373">
        <w:rPr>
          <w:rFonts w:ascii="Arial" w:hAnsi="Arial" w:cs="Arial"/>
          <w:b/>
          <w:bCs/>
          <w:sz w:val="20"/>
          <w:szCs w:val="20"/>
        </w:rPr>
        <w:t>Participant Rights:</w:t>
      </w:r>
      <w:r w:rsidRPr="005B4373">
        <w:rPr>
          <w:rFonts w:ascii="Arial" w:hAnsi="Arial" w:cs="Arial"/>
          <w:sz w:val="20"/>
          <w:szCs w:val="20"/>
        </w:rPr>
        <w:t xml:space="preserve"> Enhanced explanations of participants' rights, including their right to withdraw from the study at any time without penalty and how their data will be handled if they choose to withdraw.</w:t>
      </w:r>
    </w:p>
    <w:p w14:paraId="78552AF4" w14:textId="77777777" w:rsidR="00675720" w:rsidRPr="005B4373" w:rsidRDefault="00675720" w:rsidP="00675720">
      <w:pPr>
        <w:rPr>
          <w:rFonts w:ascii="Arial" w:hAnsi="Arial" w:cs="Arial"/>
          <w:color w:val="B1181E"/>
        </w:rPr>
      </w:pPr>
      <w:r w:rsidRPr="005B4373">
        <w:rPr>
          <w:rFonts w:ascii="Arial" w:hAnsi="Arial" w:cs="Arial"/>
          <w:b/>
          <w:bCs/>
          <w:color w:val="B1181E"/>
        </w:rPr>
        <w:t>Q5: Where can stakeholders access the updated policies, procedures, and application forms?</w:t>
      </w:r>
    </w:p>
    <w:p w14:paraId="765DC1AE" w14:textId="0E83D448" w:rsidR="00675720" w:rsidRPr="005B4373" w:rsidRDefault="00675720" w:rsidP="00675720">
      <w:pPr>
        <w:rPr>
          <w:rFonts w:ascii="Arial" w:hAnsi="Arial" w:cs="Arial"/>
          <w:sz w:val="20"/>
          <w:szCs w:val="20"/>
        </w:rPr>
      </w:pPr>
      <w:r w:rsidRPr="005B4373">
        <w:rPr>
          <w:rFonts w:ascii="Arial" w:hAnsi="Arial" w:cs="Arial"/>
          <w:b/>
          <w:bCs/>
          <w:sz w:val="20"/>
          <w:szCs w:val="20"/>
        </w:rPr>
        <w:t>A5:</w:t>
      </w:r>
      <w:r w:rsidRPr="005B4373">
        <w:rPr>
          <w:rFonts w:ascii="Arial" w:hAnsi="Arial" w:cs="Arial"/>
          <w:sz w:val="20"/>
          <w:szCs w:val="20"/>
        </w:rPr>
        <w:t xml:space="preserve"> The updated documents are available on the IRB section of our institution’s website. Stakeholders can find them under the IRB Application Forms tab</w:t>
      </w:r>
      <w:r w:rsidR="005B4373" w:rsidRPr="005B4373">
        <w:rPr>
          <w:rFonts w:ascii="Arial" w:hAnsi="Arial" w:cs="Arial"/>
          <w:sz w:val="20"/>
          <w:szCs w:val="20"/>
        </w:rPr>
        <w:t xml:space="preserve"> on the </w:t>
      </w:r>
      <w:hyperlink r:id="rId10" w:history="1">
        <w:r w:rsidR="005B4373" w:rsidRPr="005B4373">
          <w:rPr>
            <w:rStyle w:val="Hyperlink"/>
            <w:rFonts w:ascii="Arial" w:hAnsi="Arial" w:cs="Arial"/>
            <w:sz w:val="20"/>
            <w:szCs w:val="20"/>
          </w:rPr>
          <w:t>IRB page of our website</w:t>
        </w:r>
      </w:hyperlink>
      <w:r w:rsidRPr="005B4373">
        <w:rPr>
          <w:rFonts w:ascii="Arial" w:hAnsi="Arial" w:cs="Arial"/>
          <w:sz w:val="20"/>
          <w:szCs w:val="20"/>
        </w:rPr>
        <w:t>. Additionally, a summary of changes is provided in the “News and Updates” section to help navigate the new requirements.</w:t>
      </w:r>
    </w:p>
    <w:p w14:paraId="05DC37E9" w14:textId="77777777" w:rsidR="00675720" w:rsidRPr="005B4373" w:rsidRDefault="00675720" w:rsidP="00675720">
      <w:pPr>
        <w:rPr>
          <w:rFonts w:ascii="Arial" w:hAnsi="Arial" w:cs="Arial"/>
          <w:color w:val="B1181E"/>
        </w:rPr>
      </w:pPr>
      <w:r w:rsidRPr="005B4373">
        <w:rPr>
          <w:rFonts w:ascii="Arial" w:hAnsi="Arial" w:cs="Arial"/>
          <w:b/>
          <w:bCs/>
          <w:color w:val="B1181E"/>
        </w:rPr>
        <w:t>Q6: Who should stakeholders contact if they have questions about the new updates?</w:t>
      </w:r>
    </w:p>
    <w:p w14:paraId="116C1CDE" w14:textId="68F3F508" w:rsidR="007543E6" w:rsidRPr="005B4373" w:rsidRDefault="00675720">
      <w:pPr>
        <w:rPr>
          <w:rFonts w:ascii="Arial" w:hAnsi="Arial" w:cs="Arial"/>
          <w:sz w:val="20"/>
          <w:szCs w:val="20"/>
        </w:rPr>
      </w:pPr>
      <w:r w:rsidRPr="005B4373">
        <w:rPr>
          <w:rFonts w:ascii="Arial" w:hAnsi="Arial" w:cs="Arial"/>
          <w:b/>
          <w:bCs/>
          <w:sz w:val="20"/>
          <w:szCs w:val="20"/>
        </w:rPr>
        <w:t>A6:</w:t>
      </w:r>
      <w:r w:rsidRPr="005B4373">
        <w:rPr>
          <w:rFonts w:ascii="Arial" w:hAnsi="Arial" w:cs="Arial"/>
          <w:sz w:val="20"/>
          <w:szCs w:val="20"/>
        </w:rPr>
        <w:t xml:space="preserve"> Stakeholders can contact the IRB Office via email at irbhelp@dy</w:t>
      </w:r>
      <w:r w:rsidR="005B4373" w:rsidRPr="005B4373">
        <w:rPr>
          <w:rFonts w:ascii="Arial" w:hAnsi="Arial" w:cs="Arial"/>
          <w:sz w:val="20"/>
          <w:szCs w:val="20"/>
        </w:rPr>
        <w:t>u</w:t>
      </w:r>
      <w:r w:rsidRPr="005B4373">
        <w:rPr>
          <w:rFonts w:ascii="Arial" w:hAnsi="Arial" w:cs="Arial"/>
          <w:sz w:val="20"/>
          <w:szCs w:val="20"/>
        </w:rPr>
        <w:t>.edu or request in-person consultations or virtual meetings to address any specific concerns. Our team is available to provide support and answer questions related to the new updates.</w:t>
      </w:r>
    </w:p>
    <w:sectPr w:rsidR="007543E6" w:rsidRPr="005B437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0A9FB" w14:textId="77777777" w:rsidR="00650E7E" w:rsidRDefault="00650E7E" w:rsidP="00EB50D9">
      <w:pPr>
        <w:spacing w:after="0" w:line="240" w:lineRule="auto"/>
      </w:pPr>
      <w:r>
        <w:separator/>
      </w:r>
    </w:p>
  </w:endnote>
  <w:endnote w:type="continuationSeparator" w:id="0">
    <w:p w14:paraId="26207E70" w14:textId="77777777" w:rsidR="00650E7E" w:rsidRDefault="00650E7E" w:rsidP="00EB5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468528"/>
      <w:docPartObj>
        <w:docPartGallery w:val="Page Numbers (Bottom of Page)"/>
        <w:docPartUnique/>
      </w:docPartObj>
    </w:sdtPr>
    <w:sdtEndPr/>
    <w:sdtContent>
      <w:sdt>
        <w:sdtPr>
          <w:id w:val="-1769616900"/>
          <w:docPartObj>
            <w:docPartGallery w:val="Page Numbers (Top of Page)"/>
            <w:docPartUnique/>
          </w:docPartObj>
        </w:sdtPr>
        <w:sdtEndPr/>
        <w:sdtContent>
          <w:p w14:paraId="3D8FA826" w14:textId="74B56B9D" w:rsidR="00EB50D9" w:rsidRPr="00EB50D9" w:rsidRDefault="00EB50D9" w:rsidP="00EB50D9">
            <w:pPr>
              <w:jc w:val="right"/>
            </w:pPr>
            <w:r w:rsidRPr="00EB50D9">
              <w:rPr>
                <w:rFonts w:ascii="Arial" w:hAnsi="Arial" w:cs="Arial"/>
                <w:sz w:val="20"/>
                <w:szCs w:val="20"/>
              </w:rPr>
              <w:t xml:space="preserve">IRB Policy and Procedure Updates: Questions and Answers, </w:t>
            </w:r>
            <w:r w:rsidRPr="00EB50D9">
              <w:rPr>
                <w:sz w:val="20"/>
                <w:szCs w:val="20"/>
              </w:rPr>
              <w:t xml:space="preserve">Page </w:t>
            </w:r>
            <w:r w:rsidRPr="00EB50D9">
              <w:rPr>
                <w:sz w:val="20"/>
                <w:szCs w:val="20"/>
              </w:rPr>
              <w:fldChar w:fldCharType="begin"/>
            </w:r>
            <w:r w:rsidRPr="00EB50D9">
              <w:rPr>
                <w:sz w:val="20"/>
                <w:szCs w:val="20"/>
              </w:rPr>
              <w:instrText xml:space="preserve"> PAGE </w:instrText>
            </w:r>
            <w:r w:rsidRPr="00EB50D9">
              <w:rPr>
                <w:sz w:val="20"/>
                <w:szCs w:val="20"/>
              </w:rPr>
              <w:fldChar w:fldCharType="separate"/>
            </w:r>
            <w:r w:rsidRPr="00EB50D9">
              <w:rPr>
                <w:noProof/>
                <w:sz w:val="20"/>
                <w:szCs w:val="20"/>
              </w:rPr>
              <w:t>2</w:t>
            </w:r>
            <w:r w:rsidRPr="00EB50D9">
              <w:rPr>
                <w:sz w:val="20"/>
                <w:szCs w:val="20"/>
              </w:rPr>
              <w:fldChar w:fldCharType="end"/>
            </w:r>
            <w:r w:rsidRPr="00EB50D9">
              <w:rPr>
                <w:sz w:val="20"/>
                <w:szCs w:val="20"/>
              </w:rPr>
              <w:t xml:space="preserve"> of </w:t>
            </w:r>
            <w:r w:rsidRPr="00EB50D9">
              <w:rPr>
                <w:sz w:val="20"/>
                <w:szCs w:val="20"/>
              </w:rPr>
              <w:fldChar w:fldCharType="begin"/>
            </w:r>
            <w:r w:rsidRPr="00EB50D9">
              <w:rPr>
                <w:sz w:val="20"/>
                <w:szCs w:val="20"/>
              </w:rPr>
              <w:instrText xml:space="preserve"> NUMPAGES  </w:instrText>
            </w:r>
            <w:r w:rsidRPr="00EB50D9">
              <w:rPr>
                <w:sz w:val="20"/>
                <w:szCs w:val="20"/>
              </w:rPr>
              <w:fldChar w:fldCharType="separate"/>
            </w:r>
            <w:r w:rsidRPr="00EB50D9">
              <w:rPr>
                <w:noProof/>
                <w:sz w:val="20"/>
                <w:szCs w:val="20"/>
              </w:rPr>
              <w:t>2</w:t>
            </w:r>
            <w:r w:rsidRPr="00EB50D9">
              <w:rPr>
                <w:sz w:val="20"/>
                <w:szCs w:val="20"/>
              </w:rPr>
              <w:fldChar w:fldCharType="end"/>
            </w:r>
          </w:p>
        </w:sdtContent>
      </w:sdt>
    </w:sdtContent>
  </w:sdt>
  <w:p w14:paraId="0B0B806B" w14:textId="77777777" w:rsidR="00EB50D9" w:rsidRDefault="00EB5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F8448" w14:textId="77777777" w:rsidR="00650E7E" w:rsidRDefault="00650E7E" w:rsidP="00EB50D9">
      <w:pPr>
        <w:spacing w:after="0" w:line="240" w:lineRule="auto"/>
      </w:pPr>
      <w:r>
        <w:separator/>
      </w:r>
    </w:p>
  </w:footnote>
  <w:footnote w:type="continuationSeparator" w:id="0">
    <w:p w14:paraId="0E69FA21" w14:textId="77777777" w:rsidR="00650E7E" w:rsidRDefault="00650E7E" w:rsidP="00EB5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5FA"/>
    <w:multiLevelType w:val="multilevel"/>
    <w:tmpl w:val="DC9E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A11DC"/>
    <w:multiLevelType w:val="multilevel"/>
    <w:tmpl w:val="A564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A6241"/>
    <w:multiLevelType w:val="multilevel"/>
    <w:tmpl w:val="6AE8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43B25"/>
    <w:multiLevelType w:val="multilevel"/>
    <w:tmpl w:val="92BA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7C1116"/>
    <w:multiLevelType w:val="multilevel"/>
    <w:tmpl w:val="6BB8D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63DAE"/>
    <w:multiLevelType w:val="multilevel"/>
    <w:tmpl w:val="121A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E164F"/>
    <w:multiLevelType w:val="multilevel"/>
    <w:tmpl w:val="25A8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733397"/>
    <w:multiLevelType w:val="multilevel"/>
    <w:tmpl w:val="DA10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820102"/>
    <w:multiLevelType w:val="multilevel"/>
    <w:tmpl w:val="C4BE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D74A91"/>
    <w:multiLevelType w:val="multilevel"/>
    <w:tmpl w:val="A3CA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419230">
    <w:abstractNumId w:val="1"/>
  </w:num>
  <w:num w:numId="2" w16cid:durableId="576331317">
    <w:abstractNumId w:val="8"/>
  </w:num>
  <w:num w:numId="3" w16cid:durableId="1809201011">
    <w:abstractNumId w:val="2"/>
  </w:num>
  <w:num w:numId="4" w16cid:durableId="1923448418">
    <w:abstractNumId w:val="9"/>
  </w:num>
  <w:num w:numId="5" w16cid:durableId="132256933">
    <w:abstractNumId w:val="5"/>
  </w:num>
  <w:num w:numId="6" w16cid:durableId="1853109505">
    <w:abstractNumId w:val="0"/>
  </w:num>
  <w:num w:numId="7" w16cid:durableId="1801875978">
    <w:abstractNumId w:val="4"/>
  </w:num>
  <w:num w:numId="8" w16cid:durableId="1350331641">
    <w:abstractNumId w:val="3"/>
  </w:num>
  <w:num w:numId="9" w16cid:durableId="965813508">
    <w:abstractNumId w:val="7"/>
  </w:num>
  <w:num w:numId="10" w16cid:durableId="21391019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E6"/>
    <w:rsid w:val="00220DE1"/>
    <w:rsid w:val="004B31E7"/>
    <w:rsid w:val="00524D01"/>
    <w:rsid w:val="005B4373"/>
    <w:rsid w:val="00650E7E"/>
    <w:rsid w:val="00675720"/>
    <w:rsid w:val="007543E6"/>
    <w:rsid w:val="0083248B"/>
    <w:rsid w:val="00843FDE"/>
    <w:rsid w:val="00A1377D"/>
    <w:rsid w:val="00A62C5E"/>
    <w:rsid w:val="00AD6EB4"/>
    <w:rsid w:val="00B60428"/>
    <w:rsid w:val="00D30351"/>
    <w:rsid w:val="00DB6250"/>
    <w:rsid w:val="00EB50D9"/>
    <w:rsid w:val="00EE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E84F"/>
  <w15:chartTrackingRefBased/>
  <w15:docId w15:val="{D4CFA7C5-1F81-42BD-BA5D-193DC048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3E6"/>
    <w:rPr>
      <w:rFonts w:eastAsiaTheme="majorEastAsia" w:cstheme="majorBidi"/>
      <w:color w:val="272727" w:themeColor="text1" w:themeTint="D8"/>
    </w:rPr>
  </w:style>
  <w:style w:type="paragraph" w:styleId="Title">
    <w:name w:val="Title"/>
    <w:basedOn w:val="Normal"/>
    <w:next w:val="Normal"/>
    <w:link w:val="TitleChar"/>
    <w:uiPriority w:val="10"/>
    <w:qFormat/>
    <w:rsid w:val="00754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3E6"/>
    <w:pPr>
      <w:spacing w:before="160"/>
      <w:jc w:val="center"/>
    </w:pPr>
    <w:rPr>
      <w:i/>
      <w:iCs/>
      <w:color w:val="404040" w:themeColor="text1" w:themeTint="BF"/>
    </w:rPr>
  </w:style>
  <w:style w:type="character" w:customStyle="1" w:styleId="QuoteChar">
    <w:name w:val="Quote Char"/>
    <w:basedOn w:val="DefaultParagraphFont"/>
    <w:link w:val="Quote"/>
    <w:uiPriority w:val="29"/>
    <w:rsid w:val="007543E6"/>
    <w:rPr>
      <w:i/>
      <w:iCs/>
      <w:color w:val="404040" w:themeColor="text1" w:themeTint="BF"/>
    </w:rPr>
  </w:style>
  <w:style w:type="paragraph" w:styleId="ListParagraph">
    <w:name w:val="List Paragraph"/>
    <w:basedOn w:val="Normal"/>
    <w:uiPriority w:val="34"/>
    <w:qFormat/>
    <w:rsid w:val="007543E6"/>
    <w:pPr>
      <w:ind w:left="720"/>
      <w:contextualSpacing/>
    </w:pPr>
  </w:style>
  <w:style w:type="character" w:styleId="IntenseEmphasis">
    <w:name w:val="Intense Emphasis"/>
    <w:basedOn w:val="DefaultParagraphFont"/>
    <w:uiPriority w:val="21"/>
    <w:qFormat/>
    <w:rsid w:val="007543E6"/>
    <w:rPr>
      <w:i/>
      <w:iCs/>
      <w:color w:val="0F4761" w:themeColor="accent1" w:themeShade="BF"/>
    </w:rPr>
  </w:style>
  <w:style w:type="paragraph" w:styleId="IntenseQuote">
    <w:name w:val="Intense Quote"/>
    <w:basedOn w:val="Normal"/>
    <w:next w:val="Normal"/>
    <w:link w:val="IntenseQuoteChar"/>
    <w:uiPriority w:val="30"/>
    <w:qFormat/>
    <w:rsid w:val="00754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3E6"/>
    <w:rPr>
      <w:i/>
      <w:iCs/>
      <w:color w:val="0F4761" w:themeColor="accent1" w:themeShade="BF"/>
    </w:rPr>
  </w:style>
  <w:style w:type="character" w:styleId="IntenseReference">
    <w:name w:val="Intense Reference"/>
    <w:basedOn w:val="DefaultParagraphFont"/>
    <w:uiPriority w:val="32"/>
    <w:qFormat/>
    <w:rsid w:val="007543E6"/>
    <w:rPr>
      <w:b/>
      <w:bCs/>
      <w:smallCaps/>
      <w:color w:val="0F4761" w:themeColor="accent1" w:themeShade="BF"/>
      <w:spacing w:val="5"/>
    </w:rPr>
  </w:style>
  <w:style w:type="character" w:styleId="Hyperlink">
    <w:name w:val="Hyperlink"/>
    <w:basedOn w:val="DefaultParagraphFont"/>
    <w:uiPriority w:val="99"/>
    <w:unhideWhenUsed/>
    <w:rsid w:val="007543E6"/>
    <w:rPr>
      <w:color w:val="467886" w:themeColor="hyperlink"/>
      <w:u w:val="single"/>
    </w:rPr>
  </w:style>
  <w:style w:type="character" w:styleId="UnresolvedMention">
    <w:name w:val="Unresolved Mention"/>
    <w:basedOn w:val="DefaultParagraphFont"/>
    <w:uiPriority w:val="99"/>
    <w:semiHidden/>
    <w:unhideWhenUsed/>
    <w:rsid w:val="007543E6"/>
    <w:rPr>
      <w:color w:val="605E5C"/>
      <w:shd w:val="clear" w:color="auto" w:fill="E1DFDD"/>
    </w:rPr>
  </w:style>
  <w:style w:type="paragraph" w:styleId="NormalWeb">
    <w:name w:val="Normal (Web)"/>
    <w:basedOn w:val="Normal"/>
    <w:uiPriority w:val="99"/>
    <w:semiHidden/>
    <w:unhideWhenUsed/>
    <w:rsid w:val="00220DE1"/>
    <w:rPr>
      <w:rFonts w:ascii="Times New Roman" w:hAnsi="Times New Roman" w:cs="Times New Roman"/>
    </w:rPr>
  </w:style>
  <w:style w:type="character" w:styleId="FollowedHyperlink">
    <w:name w:val="FollowedHyperlink"/>
    <w:basedOn w:val="DefaultParagraphFont"/>
    <w:uiPriority w:val="99"/>
    <w:semiHidden/>
    <w:unhideWhenUsed/>
    <w:rsid w:val="00524D01"/>
    <w:rPr>
      <w:color w:val="96607D" w:themeColor="followedHyperlink"/>
      <w:u w:val="single"/>
    </w:rPr>
  </w:style>
  <w:style w:type="character" w:styleId="CommentReference">
    <w:name w:val="annotation reference"/>
    <w:basedOn w:val="DefaultParagraphFont"/>
    <w:uiPriority w:val="99"/>
    <w:semiHidden/>
    <w:unhideWhenUsed/>
    <w:rsid w:val="00524D01"/>
    <w:rPr>
      <w:sz w:val="16"/>
      <w:szCs w:val="16"/>
    </w:rPr>
  </w:style>
  <w:style w:type="paragraph" w:styleId="CommentText">
    <w:name w:val="annotation text"/>
    <w:basedOn w:val="Normal"/>
    <w:link w:val="CommentTextChar"/>
    <w:uiPriority w:val="99"/>
    <w:semiHidden/>
    <w:unhideWhenUsed/>
    <w:rsid w:val="00524D01"/>
    <w:pPr>
      <w:spacing w:line="240" w:lineRule="auto"/>
    </w:pPr>
    <w:rPr>
      <w:sz w:val="20"/>
      <w:szCs w:val="20"/>
    </w:rPr>
  </w:style>
  <w:style w:type="character" w:customStyle="1" w:styleId="CommentTextChar">
    <w:name w:val="Comment Text Char"/>
    <w:basedOn w:val="DefaultParagraphFont"/>
    <w:link w:val="CommentText"/>
    <w:uiPriority w:val="99"/>
    <w:semiHidden/>
    <w:rsid w:val="00524D01"/>
    <w:rPr>
      <w:sz w:val="20"/>
      <w:szCs w:val="20"/>
    </w:rPr>
  </w:style>
  <w:style w:type="paragraph" w:styleId="CommentSubject">
    <w:name w:val="annotation subject"/>
    <w:basedOn w:val="CommentText"/>
    <w:next w:val="CommentText"/>
    <w:link w:val="CommentSubjectChar"/>
    <w:uiPriority w:val="99"/>
    <w:semiHidden/>
    <w:unhideWhenUsed/>
    <w:rsid w:val="00524D01"/>
    <w:rPr>
      <w:b/>
      <w:bCs/>
    </w:rPr>
  </w:style>
  <w:style w:type="character" w:customStyle="1" w:styleId="CommentSubjectChar">
    <w:name w:val="Comment Subject Char"/>
    <w:basedOn w:val="CommentTextChar"/>
    <w:link w:val="CommentSubject"/>
    <w:uiPriority w:val="99"/>
    <w:semiHidden/>
    <w:rsid w:val="00524D01"/>
    <w:rPr>
      <w:b/>
      <w:bCs/>
      <w:sz w:val="20"/>
      <w:szCs w:val="20"/>
    </w:rPr>
  </w:style>
  <w:style w:type="paragraph" w:styleId="Header">
    <w:name w:val="header"/>
    <w:basedOn w:val="Normal"/>
    <w:link w:val="HeaderChar"/>
    <w:uiPriority w:val="99"/>
    <w:unhideWhenUsed/>
    <w:rsid w:val="00EB5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0D9"/>
  </w:style>
  <w:style w:type="paragraph" w:styleId="Footer">
    <w:name w:val="footer"/>
    <w:basedOn w:val="Normal"/>
    <w:link w:val="FooterChar"/>
    <w:uiPriority w:val="99"/>
    <w:unhideWhenUsed/>
    <w:rsid w:val="00EB5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9801">
      <w:bodyDiv w:val="1"/>
      <w:marLeft w:val="0"/>
      <w:marRight w:val="0"/>
      <w:marTop w:val="0"/>
      <w:marBottom w:val="0"/>
      <w:divBdr>
        <w:top w:val="none" w:sz="0" w:space="0" w:color="auto"/>
        <w:left w:val="none" w:sz="0" w:space="0" w:color="auto"/>
        <w:bottom w:val="none" w:sz="0" w:space="0" w:color="auto"/>
        <w:right w:val="none" w:sz="0" w:space="0" w:color="auto"/>
      </w:divBdr>
    </w:div>
    <w:div w:id="393629585">
      <w:bodyDiv w:val="1"/>
      <w:marLeft w:val="0"/>
      <w:marRight w:val="0"/>
      <w:marTop w:val="0"/>
      <w:marBottom w:val="0"/>
      <w:divBdr>
        <w:top w:val="none" w:sz="0" w:space="0" w:color="auto"/>
        <w:left w:val="none" w:sz="0" w:space="0" w:color="auto"/>
        <w:bottom w:val="none" w:sz="0" w:space="0" w:color="auto"/>
        <w:right w:val="none" w:sz="0" w:space="0" w:color="auto"/>
      </w:divBdr>
    </w:div>
    <w:div w:id="471216350">
      <w:bodyDiv w:val="1"/>
      <w:marLeft w:val="0"/>
      <w:marRight w:val="0"/>
      <w:marTop w:val="0"/>
      <w:marBottom w:val="0"/>
      <w:divBdr>
        <w:top w:val="none" w:sz="0" w:space="0" w:color="auto"/>
        <w:left w:val="none" w:sz="0" w:space="0" w:color="auto"/>
        <w:bottom w:val="none" w:sz="0" w:space="0" w:color="auto"/>
        <w:right w:val="none" w:sz="0" w:space="0" w:color="auto"/>
      </w:divBdr>
    </w:div>
    <w:div w:id="607277356">
      <w:bodyDiv w:val="1"/>
      <w:marLeft w:val="0"/>
      <w:marRight w:val="0"/>
      <w:marTop w:val="0"/>
      <w:marBottom w:val="0"/>
      <w:divBdr>
        <w:top w:val="none" w:sz="0" w:space="0" w:color="auto"/>
        <w:left w:val="none" w:sz="0" w:space="0" w:color="auto"/>
        <w:bottom w:val="none" w:sz="0" w:space="0" w:color="auto"/>
        <w:right w:val="none" w:sz="0" w:space="0" w:color="auto"/>
      </w:divBdr>
    </w:div>
    <w:div w:id="643855425">
      <w:bodyDiv w:val="1"/>
      <w:marLeft w:val="0"/>
      <w:marRight w:val="0"/>
      <w:marTop w:val="0"/>
      <w:marBottom w:val="0"/>
      <w:divBdr>
        <w:top w:val="none" w:sz="0" w:space="0" w:color="auto"/>
        <w:left w:val="none" w:sz="0" w:space="0" w:color="auto"/>
        <w:bottom w:val="none" w:sz="0" w:space="0" w:color="auto"/>
        <w:right w:val="none" w:sz="0" w:space="0" w:color="auto"/>
      </w:divBdr>
    </w:div>
    <w:div w:id="996765342">
      <w:bodyDiv w:val="1"/>
      <w:marLeft w:val="0"/>
      <w:marRight w:val="0"/>
      <w:marTop w:val="0"/>
      <w:marBottom w:val="0"/>
      <w:divBdr>
        <w:top w:val="none" w:sz="0" w:space="0" w:color="auto"/>
        <w:left w:val="none" w:sz="0" w:space="0" w:color="auto"/>
        <w:bottom w:val="none" w:sz="0" w:space="0" w:color="auto"/>
        <w:right w:val="none" w:sz="0" w:space="0" w:color="auto"/>
      </w:divBdr>
    </w:div>
    <w:div w:id="1066564326">
      <w:bodyDiv w:val="1"/>
      <w:marLeft w:val="0"/>
      <w:marRight w:val="0"/>
      <w:marTop w:val="0"/>
      <w:marBottom w:val="0"/>
      <w:divBdr>
        <w:top w:val="none" w:sz="0" w:space="0" w:color="auto"/>
        <w:left w:val="none" w:sz="0" w:space="0" w:color="auto"/>
        <w:bottom w:val="none" w:sz="0" w:space="0" w:color="auto"/>
        <w:right w:val="none" w:sz="0" w:space="0" w:color="auto"/>
      </w:divBdr>
    </w:div>
    <w:div w:id="1537348877">
      <w:bodyDiv w:val="1"/>
      <w:marLeft w:val="0"/>
      <w:marRight w:val="0"/>
      <w:marTop w:val="0"/>
      <w:marBottom w:val="0"/>
      <w:divBdr>
        <w:top w:val="none" w:sz="0" w:space="0" w:color="auto"/>
        <w:left w:val="none" w:sz="0" w:space="0" w:color="auto"/>
        <w:bottom w:val="none" w:sz="0" w:space="0" w:color="auto"/>
        <w:right w:val="none" w:sz="0" w:space="0" w:color="auto"/>
      </w:divBdr>
    </w:div>
    <w:div w:id="1593856750">
      <w:bodyDiv w:val="1"/>
      <w:marLeft w:val="0"/>
      <w:marRight w:val="0"/>
      <w:marTop w:val="0"/>
      <w:marBottom w:val="0"/>
      <w:divBdr>
        <w:top w:val="none" w:sz="0" w:space="0" w:color="auto"/>
        <w:left w:val="none" w:sz="0" w:space="0" w:color="auto"/>
        <w:bottom w:val="none" w:sz="0" w:space="0" w:color="auto"/>
        <w:right w:val="none" w:sz="0" w:space="0" w:color="auto"/>
      </w:divBdr>
    </w:div>
    <w:div w:id="1596549990">
      <w:bodyDiv w:val="1"/>
      <w:marLeft w:val="0"/>
      <w:marRight w:val="0"/>
      <w:marTop w:val="0"/>
      <w:marBottom w:val="0"/>
      <w:divBdr>
        <w:top w:val="none" w:sz="0" w:space="0" w:color="auto"/>
        <w:left w:val="none" w:sz="0" w:space="0" w:color="auto"/>
        <w:bottom w:val="none" w:sz="0" w:space="0" w:color="auto"/>
        <w:right w:val="none" w:sz="0" w:space="0" w:color="auto"/>
      </w:divBdr>
    </w:div>
    <w:div w:id="1817988062">
      <w:bodyDiv w:val="1"/>
      <w:marLeft w:val="0"/>
      <w:marRight w:val="0"/>
      <w:marTop w:val="0"/>
      <w:marBottom w:val="0"/>
      <w:divBdr>
        <w:top w:val="none" w:sz="0" w:space="0" w:color="auto"/>
        <w:left w:val="none" w:sz="0" w:space="0" w:color="auto"/>
        <w:bottom w:val="none" w:sz="0" w:space="0" w:color="auto"/>
        <w:right w:val="none" w:sz="0" w:space="0" w:color="auto"/>
      </w:divBdr>
    </w:div>
    <w:div w:id="1914463546">
      <w:bodyDiv w:val="1"/>
      <w:marLeft w:val="0"/>
      <w:marRight w:val="0"/>
      <w:marTop w:val="0"/>
      <w:marBottom w:val="0"/>
      <w:divBdr>
        <w:top w:val="none" w:sz="0" w:space="0" w:color="auto"/>
        <w:left w:val="none" w:sz="0" w:space="0" w:color="auto"/>
        <w:bottom w:val="none" w:sz="0" w:space="0" w:color="auto"/>
        <w:right w:val="none" w:sz="0" w:space="0" w:color="auto"/>
      </w:divBdr>
    </w:div>
    <w:div w:id="209755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yu.edu/sites/default/files/2024-07/IRB%20Guidance%20for%20Student%20Research%20and%20Class%20Project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dyu.edu/academics/schools-and-departments/center-doctoral-studies-research/research/institutional-review" TargetMode="External"/><Relationship Id="rId4" Type="http://schemas.openxmlformats.org/officeDocument/2006/relationships/webSettings" Target="webSettings.xml"/><Relationship Id="rId9" Type="http://schemas.openxmlformats.org/officeDocument/2006/relationships/hyperlink" Target="https://www.dyu.edu/academics/schools-and-departments/center-doctoral-studies-research/research/institutional-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690</Words>
  <Characters>4062</Characters>
  <Application>Microsoft Office Word</Application>
  <DocSecurity>0</DocSecurity>
  <Lines>69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Boateng, Henry</dc:creator>
  <cp:keywords/>
  <dc:description/>
  <cp:lastModifiedBy>Lesinski, Jeannette</cp:lastModifiedBy>
  <cp:revision>5</cp:revision>
  <dcterms:created xsi:type="dcterms:W3CDTF">2024-09-10T14:45:00Z</dcterms:created>
  <dcterms:modified xsi:type="dcterms:W3CDTF">2026-02-02T17:19:00Z</dcterms:modified>
</cp:coreProperties>
</file>